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96"/>
        <w:gridCol w:w="6566"/>
      </w:tblGrid>
      <w:tr w:rsidR="00173188" w:rsidRPr="00FC0800" w:rsidTr="00210E09">
        <w:trPr>
          <w:trHeight w:val="475"/>
        </w:trPr>
        <w:tc>
          <w:tcPr>
            <w:tcW w:w="750" w:type="pct"/>
            <w:shd w:val="clear" w:color="auto" w:fill="auto"/>
          </w:tcPr>
          <w:p w:rsidR="00173188" w:rsidRPr="00FC0800" w:rsidRDefault="00173188" w:rsidP="00210E09">
            <w:pPr>
              <w:pStyle w:val="Koptekst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nl-BE"/>
              </w:rPr>
              <w:drawing>
                <wp:inline distT="0" distB="0" distL="0" distR="0" wp14:anchorId="17539671" wp14:editId="7CBF3DE5">
                  <wp:extent cx="1447800" cy="1501028"/>
                  <wp:effectExtent l="0" t="0" r="0" b="444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63" cy="1501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shd w:val="clear" w:color="auto" w:fill="auto"/>
            <w:vAlign w:val="center"/>
          </w:tcPr>
          <w:p w:rsidR="00173188" w:rsidRDefault="00173188" w:rsidP="00210E09">
            <w:pPr>
              <w:spacing w:after="0" w:line="276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173188" w:rsidRPr="007846CA" w:rsidRDefault="00173188" w:rsidP="00714CFD">
            <w:pPr>
              <w:spacing w:after="0" w:line="276" w:lineRule="auto"/>
              <w:jc w:val="both"/>
              <w:rPr>
                <w:rFonts w:cs="Arial"/>
                <w:b/>
                <w:bCs/>
                <w:sz w:val="36"/>
                <w:szCs w:val="36"/>
              </w:rPr>
            </w:pPr>
            <w:r w:rsidRPr="007846CA">
              <w:rPr>
                <w:rFonts w:cs="Arial"/>
                <w:b/>
                <w:sz w:val="36"/>
                <w:szCs w:val="36"/>
                <w14:reflection w14:blurRad="6350" w14:stA="55000" w14:stPos="0" w14:endA="50" w14:endPos="85000" w14:dist="29997" w14:dir="5400000" w14:fadeDir="5400000" w14:sx="100000" w14:sy="-100000" w14:kx="0" w14:ky="0" w14:algn="bl"/>
                <w14:textOutline w14:w="317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De</w:t>
            </w:r>
            <w:r w:rsidR="00714CFD">
              <w:rPr>
                <w:rFonts w:cs="Arial"/>
                <w:b/>
                <w:sz w:val="36"/>
                <w:szCs w:val="36"/>
                <w14:reflection w14:blurRad="6350" w14:stA="55000" w14:stPos="0" w14:endA="50" w14:endPos="85000" w14:dist="29997" w14:dir="5400000" w14:fadeDir="5400000" w14:sx="100000" w14:sy="-100000" w14:kx="0" w14:ky="0" w14:algn="bl"/>
                <w14:textOutline w14:w="317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r</w:t>
            </w:r>
            <w:r w:rsidRPr="007846CA">
              <w:rPr>
                <w:rFonts w:cs="Arial"/>
                <w:b/>
                <w:sz w:val="36"/>
                <w:szCs w:val="36"/>
                <w14:reflection w14:blurRad="6350" w14:stA="55000" w14:stPos="0" w14:endA="50" w14:endPos="85000" w14:dist="29997" w14:dir="5400000" w14:fadeDir="5400000" w14:sx="100000" w14:sy="-100000" w14:kx="0" w14:ky="0" w14:algn="bl"/>
                <w14:textOutline w14:w="317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 Ni</w:t>
            </w:r>
            <w:r w:rsidR="00714CFD">
              <w:rPr>
                <w:rFonts w:cs="Arial"/>
                <w:b/>
                <w:sz w:val="36"/>
                <w:szCs w:val="36"/>
                <w14:reflection w14:blurRad="6350" w14:stA="55000" w14:stPos="0" w14:endA="50" w14:endPos="85000" w14:dist="29997" w14:dir="5400000" w14:fadeDir="5400000" w14:sx="100000" w14:sy="-100000" w14:kx="0" w14:ky="0" w14:algn="bl"/>
                <w14:textOutline w14:w="317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cht</w:t>
            </w:r>
            <w:r w:rsidRPr="007846CA">
              <w:rPr>
                <w:rFonts w:cs="Arial"/>
                <w:b/>
                <w:sz w:val="36"/>
                <w:szCs w:val="36"/>
                <w14:reflection w14:blurRad="6350" w14:stA="55000" w14:stPos="0" w14:endA="50" w14:endPos="85000" w14:dist="29997" w14:dir="5400000" w14:fadeDir="5400000" w14:sx="100000" w14:sy="-100000" w14:kx="0" w14:ky="0" w14:algn="bl"/>
                <w14:textOutline w14:w="317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-Invasive Pr</w:t>
            </w:r>
            <w:r w:rsidR="00714CFD">
              <w:rPr>
                <w:rFonts w:cs="Arial"/>
                <w:b/>
                <w:sz w:val="36"/>
                <w:szCs w:val="36"/>
                <w14:reflection w14:blurRad="6350" w14:stA="55000" w14:stPos="0" w14:endA="50" w14:endPos="85000" w14:dist="29997" w14:dir="5400000" w14:fadeDir="5400000" w14:sx="100000" w14:sy="-100000" w14:kx="0" w14:ky="0" w14:algn="bl"/>
                <w14:textOutline w14:w="317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>ä</w:t>
            </w:r>
            <w:r w:rsidRPr="007846CA">
              <w:rPr>
                <w:rFonts w:cs="Arial"/>
                <w:b/>
                <w:sz w:val="36"/>
                <w:szCs w:val="36"/>
                <w14:reflection w14:blurRad="6350" w14:stA="55000" w14:stPos="0" w14:endA="50" w14:endPos="85000" w14:dist="29997" w14:dir="5400000" w14:fadeDir="5400000" w14:sx="100000" w14:sy="-100000" w14:kx="0" w14:ky="0" w14:algn="bl"/>
                <w14:textOutline w14:w="317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natale Test </w:t>
            </w:r>
            <w:r w:rsidRPr="007846CA">
              <w:rPr>
                <w:rFonts w:cs="Arial"/>
                <w:b/>
                <w:bCs/>
                <w:sz w:val="36"/>
                <w:szCs w:val="36"/>
                <w14:reflection w14:blurRad="6350" w14:stA="55000" w14:stPos="0" w14:endA="50" w14:endPos="85000" w14:dist="29997" w14:dir="5400000" w14:fadeDir="5400000" w14:sx="100000" w14:sy="-100000" w14:kx="0" w14:ky="0" w14:algn="bl"/>
                <w14:textOutline w14:w="317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  <w:t xml:space="preserve"> (NIPT)</w:t>
            </w:r>
          </w:p>
        </w:tc>
      </w:tr>
    </w:tbl>
    <w:p w:rsidR="00173188" w:rsidRDefault="00173188" w:rsidP="00FC0800">
      <w:pPr>
        <w:spacing w:after="0" w:line="276" w:lineRule="auto"/>
        <w:jc w:val="both"/>
        <w:rPr>
          <w:rFonts w:cs="Arial"/>
          <w:b/>
          <w:color w:val="000000"/>
          <w:sz w:val="20"/>
          <w:szCs w:val="20"/>
          <w:lang w:eastAsia="nl-BE"/>
        </w:rPr>
      </w:pPr>
    </w:p>
    <w:p w:rsidR="00714CFD" w:rsidRPr="00714CFD" w:rsidRDefault="00714CFD" w:rsidP="00714CFD">
      <w:pPr>
        <w:spacing w:after="0" w:line="276" w:lineRule="auto"/>
        <w:jc w:val="both"/>
        <w:rPr>
          <w:rFonts w:cs="Arial"/>
          <w:b/>
          <w:bCs/>
          <w:sz w:val="20"/>
          <w:szCs w:val="20"/>
        </w:rPr>
      </w:pPr>
      <w:r w:rsidRPr="00714CFD">
        <w:rPr>
          <w:rFonts w:cs="Arial"/>
          <w:b/>
          <w:bCs/>
          <w:sz w:val="20"/>
          <w:szCs w:val="20"/>
        </w:rPr>
        <w:t>NIPT ist ein Nicht-Invasiver Pränataler Test (NIPT), der durchgeführt wird auf das Blut der schwangeren Frau. So wird der Fetus gescreent auf die häufigsten Chromosomenabweichungen, wie Trisomie 21 (das Down-Syndrom), Trisomie 18 (das Edwards-Syndrom) und Trisomie 13 (das Patau-Syndrom).</w:t>
      </w:r>
    </w:p>
    <w:p w:rsidR="00714CFD" w:rsidRPr="00714CFD" w:rsidRDefault="00714CFD" w:rsidP="00714CFD">
      <w:pPr>
        <w:spacing w:after="0" w:line="276" w:lineRule="auto"/>
        <w:jc w:val="both"/>
        <w:rPr>
          <w:rFonts w:cs="Arial"/>
          <w:b/>
          <w:bCs/>
          <w:sz w:val="20"/>
          <w:szCs w:val="20"/>
        </w:rPr>
      </w:pPr>
    </w:p>
    <w:p w:rsidR="00714CFD" w:rsidRPr="00575555" w:rsidRDefault="00714CFD" w:rsidP="00714CFD">
      <w:pPr>
        <w:pStyle w:val="Bijschrift"/>
        <w:keepNext/>
        <w:spacing w:after="0"/>
        <w:rPr>
          <w:color w:val="7F7F7F" w:themeColor="text1" w:themeTint="80"/>
        </w:rPr>
      </w:pPr>
      <w:r w:rsidRPr="00575555">
        <w:rPr>
          <w:color w:val="7F7F7F" w:themeColor="text1" w:themeTint="80"/>
        </w:rPr>
        <w:t>Tabelle: Chromosomenabweichungen, die der NIPT ausfindig macht.</w:t>
      </w:r>
    </w:p>
    <w:tbl>
      <w:tblPr>
        <w:tblW w:w="9040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20"/>
      </w:tblGrid>
      <w:tr w:rsidR="00714CFD" w:rsidRPr="00714CFD" w:rsidTr="008C4ACC">
        <w:tc>
          <w:tcPr>
            <w:tcW w:w="2520" w:type="dxa"/>
            <w:vAlign w:val="center"/>
          </w:tcPr>
          <w:p w:rsidR="00714CFD" w:rsidRPr="00714CFD" w:rsidRDefault="00714CFD" w:rsidP="008C4ACC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14CFD">
              <w:rPr>
                <w:rFonts w:cs="Arial"/>
                <w:sz w:val="20"/>
                <w:szCs w:val="20"/>
              </w:rPr>
              <w:t>Trisomie 21</w:t>
            </w:r>
          </w:p>
          <w:p w:rsidR="00714CFD" w:rsidRPr="00714CFD" w:rsidRDefault="00714CFD" w:rsidP="008C4ACC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14CFD">
              <w:rPr>
                <w:rFonts w:cs="Arial"/>
                <w:sz w:val="20"/>
                <w:szCs w:val="20"/>
              </w:rPr>
              <w:t>(das Down-Syndrom)</w:t>
            </w:r>
          </w:p>
        </w:tc>
        <w:tc>
          <w:tcPr>
            <w:tcW w:w="6520" w:type="dxa"/>
          </w:tcPr>
          <w:p w:rsidR="00714CFD" w:rsidRPr="00714CFD" w:rsidRDefault="00714CFD" w:rsidP="00797F90">
            <w:pPr>
              <w:spacing w:after="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714CFD">
              <w:rPr>
                <w:rFonts w:cs="Arial"/>
                <w:sz w:val="20"/>
                <w:szCs w:val="20"/>
              </w:rPr>
              <w:t>Das Down-Syndrom wird von einer Zusatzvervielfältigung des Chromosoms 21 verursacht (Trisomie 21).</w:t>
            </w:r>
            <w:r w:rsidR="00797F90">
              <w:rPr>
                <w:rFonts w:cs="Arial"/>
                <w:sz w:val="20"/>
                <w:szCs w:val="20"/>
              </w:rPr>
              <w:t xml:space="preserve"> </w:t>
            </w:r>
            <w:r w:rsidRPr="00714CFD">
              <w:rPr>
                <w:rFonts w:cs="Arial"/>
                <w:sz w:val="20"/>
                <w:szCs w:val="20"/>
              </w:rPr>
              <w:t>Das Down-Syndrom ist die häufigst vorkommende Chromosomenabweichung (1/500 Kindern) und der häufigst vorkommende Grund für mentalen Rückstand.</w:t>
            </w:r>
            <w:r w:rsidR="00797F90">
              <w:rPr>
                <w:rFonts w:cs="Arial"/>
                <w:sz w:val="20"/>
                <w:szCs w:val="20"/>
              </w:rPr>
              <w:t xml:space="preserve"> </w:t>
            </w:r>
            <w:r w:rsidRPr="00714CFD">
              <w:rPr>
                <w:rFonts w:cs="Arial"/>
                <w:sz w:val="20"/>
                <w:szCs w:val="20"/>
              </w:rPr>
              <w:t>Manche Kinder mit dem Down-Syndrom haben angeborene Herzabweichungen.</w:t>
            </w:r>
            <w:r w:rsidR="00797F90">
              <w:rPr>
                <w:rFonts w:cs="Arial"/>
                <w:sz w:val="20"/>
                <w:szCs w:val="20"/>
              </w:rPr>
              <w:t xml:space="preserve"> </w:t>
            </w:r>
            <w:r w:rsidRPr="00714CFD">
              <w:rPr>
                <w:rFonts w:cs="Arial"/>
                <w:sz w:val="20"/>
                <w:szCs w:val="20"/>
              </w:rPr>
              <w:t>Erwachsenen mit Down-Sybdrom entwickeln oft Demenz.</w:t>
            </w:r>
          </w:p>
        </w:tc>
      </w:tr>
      <w:tr w:rsidR="00714CFD" w:rsidRPr="00714CFD" w:rsidTr="008C4ACC">
        <w:tc>
          <w:tcPr>
            <w:tcW w:w="2520" w:type="dxa"/>
            <w:vAlign w:val="center"/>
          </w:tcPr>
          <w:p w:rsidR="00714CFD" w:rsidRPr="00714CFD" w:rsidRDefault="00714CFD" w:rsidP="008C4ACC">
            <w:pPr>
              <w:spacing w:after="0" w:line="276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14CFD">
              <w:rPr>
                <w:rFonts w:cs="Arial"/>
                <w:sz w:val="20"/>
                <w:szCs w:val="20"/>
              </w:rPr>
              <w:t>Trisomie 18</w:t>
            </w:r>
          </w:p>
          <w:p w:rsidR="00714CFD" w:rsidRPr="00714CFD" w:rsidRDefault="00714CFD" w:rsidP="008C4ACC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14CFD">
              <w:rPr>
                <w:rFonts w:cs="Arial"/>
                <w:sz w:val="20"/>
                <w:szCs w:val="20"/>
                <w:lang w:val="en-US"/>
              </w:rPr>
              <w:t>(das Edwards -Syndrom)</w:t>
            </w:r>
          </w:p>
          <w:p w:rsidR="00714CFD" w:rsidRPr="00714CFD" w:rsidRDefault="00714CFD" w:rsidP="008C4ACC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714CFD" w:rsidRPr="00714CFD" w:rsidRDefault="00714CFD" w:rsidP="00797F90">
            <w:pPr>
              <w:spacing w:after="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714CFD">
              <w:rPr>
                <w:rFonts w:cs="Arial"/>
                <w:sz w:val="20"/>
                <w:szCs w:val="20"/>
              </w:rPr>
              <w:t>Das Edwards-Syndrom wird von einer Zusatzvervielfältigung des Chromosoms 18  verursacht (Trisomie 18). Schwangerschaften mit Trisomie 18 enden meist mit einem Fehlgeburt.</w:t>
            </w:r>
            <w:r w:rsidR="00797F90">
              <w:rPr>
                <w:rFonts w:cs="Arial"/>
                <w:sz w:val="20"/>
                <w:szCs w:val="20"/>
              </w:rPr>
              <w:t xml:space="preserve"> </w:t>
            </w:r>
            <w:r w:rsidRPr="00714CFD">
              <w:rPr>
                <w:rFonts w:cs="Arial"/>
                <w:sz w:val="20"/>
                <w:szCs w:val="20"/>
              </w:rPr>
              <w:t>Wird ein Baby mit Trisomie 18 dennoch geboren, stirbt es meist innerhalb des ersten Lebensjahres, ernsthafter Abweichungen des Gehrins und anderer</w:t>
            </w:r>
            <w:r w:rsidR="00797F90">
              <w:rPr>
                <w:rFonts w:cs="Arial"/>
                <w:sz w:val="20"/>
                <w:szCs w:val="20"/>
              </w:rPr>
              <w:t xml:space="preserve"> Organe  zufolge. </w:t>
            </w:r>
            <w:r w:rsidRPr="00714CFD">
              <w:rPr>
                <w:rFonts w:cs="Arial"/>
                <w:sz w:val="20"/>
                <w:szCs w:val="20"/>
              </w:rPr>
              <w:t>Die wenigen Kinder, die das erste Lebensjahr überstehen, haben einen bedeutenden mentalen Rückstand und zeigen viele Abweichungen auf.</w:t>
            </w:r>
          </w:p>
        </w:tc>
      </w:tr>
      <w:tr w:rsidR="00714CFD" w:rsidRPr="00714CFD" w:rsidTr="008C4ACC">
        <w:tc>
          <w:tcPr>
            <w:tcW w:w="2520" w:type="dxa"/>
            <w:vAlign w:val="center"/>
          </w:tcPr>
          <w:p w:rsidR="00714CFD" w:rsidRPr="00714CFD" w:rsidRDefault="00714CFD" w:rsidP="008C4ACC">
            <w:pPr>
              <w:spacing w:after="0" w:line="276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714CFD">
              <w:rPr>
                <w:rFonts w:cs="Arial"/>
                <w:sz w:val="20"/>
                <w:szCs w:val="20"/>
              </w:rPr>
              <w:t>Trisomie 13</w:t>
            </w:r>
          </w:p>
          <w:p w:rsidR="00714CFD" w:rsidRPr="00714CFD" w:rsidRDefault="00714CFD" w:rsidP="008C4ACC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14CFD">
              <w:rPr>
                <w:rFonts w:cs="Arial"/>
                <w:sz w:val="20"/>
                <w:szCs w:val="20"/>
                <w:lang w:val="en-US"/>
              </w:rPr>
              <w:t>(das Patau-Syndrom)</w:t>
            </w:r>
          </w:p>
        </w:tc>
        <w:tc>
          <w:tcPr>
            <w:tcW w:w="6520" w:type="dxa"/>
          </w:tcPr>
          <w:p w:rsidR="00714CFD" w:rsidRPr="00714CFD" w:rsidRDefault="00714CFD" w:rsidP="00797F90">
            <w:pPr>
              <w:spacing w:after="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714CFD">
              <w:rPr>
                <w:rFonts w:cs="Arial"/>
                <w:sz w:val="20"/>
                <w:szCs w:val="20"/>
              </w:rPr>
              <w:t>Das Patau-Syndrom wird von einer Zusatzvervielfältigung des Chromosoms 13  verursacht (Trisomie 13). Schwangerschaften mit Trisomie 13 enden meist mit einem Fehlgeburt.</w:t>
            </w:r>
            <w:r w:rsidR="00797F90">
              <w:rPr>
                <w:rFonts w:cs="Arial"/>
                <w:sz w:val="20"/>
                <w:szCs w:val="20"/>
              </w:rPr>
              <w:t xml:space="preserve"> </w:t>
            </w:r>
            <w:r w:rsidRPr="00714CFD">
              <w:rPr>
                <w:rFonts w:cs="Arial"/>
                <w:sz w:val="20"/>
                <w:szCs w:val="20"/>
              </w:rPr>
              <w:t>Wird ein Baby mit Trisomie 13 dennoch geboren, stirbt es meist innerhalb des ersten Lebensjahres, ernsthafter Abweichungen des Gehrins und anderer Organe  zufolge.</w:t>
            </w:r>
          </w:p>
        </w:tc>
      </w:tr>
    </w:tbl>
    <w:p w:rsidR="00714CFD" w:rsidRPr="00714CFD" w:rsidRDefault="00714CFD" w:rsidP="00797F90">
      <w:pPr>
        <w:spacing w:after="0" w:line="276" w:lineRule="auto"/>
        <w:jc w:val="both"/>
        <w:rPr>
          <w:sz w:val="20"/>
          <w:szCs w:val="20"/>
        </w:rPr>
      </w:pPr>
    </w:p>
    <w:p w:rsidR="00714CFD" w:rsidRPr="00714CFD" w:rsidRDefault="00714CFD" w:rsidP="00714CFD">
      <w:pPr>
        <w:spacing w:line="276" w:lineRule="auto"/>
        <w:jc w:val="both"/>
        <w:rPr>
          <w:b/>
          <w:sz w:val="20"/>
          <w:szCs w:val="20"/>
        </w:rPr>
      </w:pPr>
      <w:r w:rsidRPr="00575555">
        <w:rPr>
          <w:b/>
          <w:color w:val="000000"/>
          <w:sz w:val="20"/>
          <w:szCs w:val="20"/>
          <w:lang w:eastAsia="nl-BE"/>
        </w:rPr>
        <w:t>BLUTPROBE</w:t>
      </w:r>
      <w:r w:rsidR="00575555" w:rsidRPr="00575555">
        <w:rPr>
          <w:b/>
          <w:color w:val="000000"/>
          <w:sz w:val="20"/>
          <w:szCs w:val="20"/>
          <w:lang w:eastAsia="nl-BE"/>
        </w:rPr>
        <w:t>:</w:t>
      </w:r>
      <w:r w:rsidRPr="00714CFD">
        <w:rPr>
          <w:color w:val="000000"/>
          <w:sz w:val="20"/>
          <w:szCs w:val="20"/>
          <w:lang w:eastAsia="nl-BE"/>
        </w:rPr>
        <w:t xml:space="preserve"> </w:t>
      </w:r>
      <w:r w:rsidRPr="00714CFD">
        <w:rPr>
          <w:bCs/>
          <w:sz w:val="20"/>
          <w:szCs w:val="20"/>
        </w:rPr>
        <w:t xml:space="preserve">NIPT ist ein “Nicht-Invasiver” Pränataler Test, d.h. ein sicherer Test, der keine Risiken für den Fetus enthält, im Gegensatz zu der Fruchtwasseruntersuchung (Amniozentese) oder der Chorionzottenbiopsie. </w:t>
      </w:r>
      <w:r w:rsidRPr="00714CFD">
        <w:rPr>
          <w:sz w:val="20"/>
          <w:szCs w:val="20"/>
        </w:rPr>
        <w:t>Für den NIPT braucht man nur 20 ml Blut der schwangeren Frau. Das Blut kann ab der 10. Schwangerschaftswoche, gerechnet vom ersten Tag der Letzten Menstruation, abgenommen werden.</w:t>
      </w:r>
    </w:p>
    <w:p w:rsidR="00714CFD" w:rsidRPr="00714CFD" w:rsidRDefault="00714CFD" w:rsidP="00714CFD">
      <w:pPr>
        <w:spacing w:after="0" w:line="276" w:lineRule="auto"/>
        <w:jc w:val="both"/>
        <w:rPr>
          <w:rFonts w:cs="Arial"/>
          <w:sz w:val="20"/>
          <w:szCs w:val="20"/>
        </w:rPr>
      </w:pPr>
      <w:r w:rsidRPr="00714CFD">
        <w:rPr>
          <w:rFonts w:cs="Arial"/>
          <w:sz w:val="20"/>
          <w:szCs w:val="20"/>
        </w:rPr>
        <w:t>Dafür benötigt man spezielle Blutröhrchen von GENDIA. Die Blutprobe kann entweder bei der Konsultation im GENDIA-Labor in Antwerpen abgenommen werden, oder GENDIA in speziellen Behälter zugeschickt werden. Das Blut soll immer bei Zimmertemperatur gelagert werden.</w:t>
      </w:r>
    </w:p>
    <w:p w:rsidR="00714CFD" w:rsidRPr="00714CFD" w:rsidRDefault="00714CFD" w:rsidP="00714CFD">
      <w:pPr>
        <w:spacing w:after="0" w:line="276" w:lineRule="auto"/>
        <w:jc w:val="both"/>
        <w:rPr>
          <w:rFonts w:cs="Arial"/>
          <w:b/>
          <w:color w:val="000000"/>
          <w:sz w:val="20"/>
          <w:szCs w:val="20"/>
          <w:lang w:eastAsia="nl-BE"/>
        </w:rPr>
      </w:pPr>
    </w:p>
    <w:p w:rsidR="00714CFD" w:rsidRPr="00E51F4C" w:rsidRDefault="00714CFD" w:rsidP="00714CFD">
      <w:pPr>
        <w:spacing w:after="0" w:line="276" w:lineRule="auto"/>
        <w:jc w:val="both"/>
        <w:rPr>
          <w:rFonts w:cs="Arial"/>
          <w:sz w:val="20"/>
          <w:szCs w:val="20"/>
          <w:lang w:eastAsia="nl-BE"/>
        </w:rPr>
      </w:pPr>
      <w:r w:rsidRPr="00714CFD">
        <w:rPr>
          <w:rFonts w:cs="Arial"/>
          <w:b/>
          <w:color w:val="000000"/>
          <w:sz w:val="20"/>
          <w:szCs w:val="20"/>
          <w:lang w:eastAsia="nl-BE"/>
        </w:rPr>
        <w:t>VERFAHREN</w:t>
      </w:r>
      <w:r w:rsidR="00575555">
        <w:rPr>
          <w:rFonts w:cs="Arial"/>
          <w:b/>
          <w:color w:val="000000"/>
          <w:sz w:val="20"/>
          <w:szCs w:val="20"/>
          <w:lang w:eastAsia="nl-BE"/>
        </w:rPr>
        <w:t>:</w:t>
      </w:r>
      <w:r w:rsidRPr="00714CFD">
        <w:rPr>
          <w:rFonts w:cs="Arial"/>
          <w:b/>
          <w:color w:val="000000"/>
          <w:sz w:val="20"/>
          <w:szCs w:val="20"/>
          <w:lang w:eastAsia="nl-BE"/>
        </w:rPr>
        <w:t xml:space="preserve"> </w:t>
      </w:r>
      <w:r w:rsidRPr="00714CFD">
        <w:rPr>
          <w:rFonts w:cs="Arial"/>
          <w:color w:val="000000"/>
          <w:sz w:val="20"/>
          <w:szCs w:val="20"/>
          <w:lang w:eastAsia="nl-BE"/>
        </w:rPr>
        <w:t xml:space="preserve">Der </w:t>
      </w:r>
      <w:r w:rsidRPr="00714CFD">
        <w:rPr>
          <w:rFonts w:cs="Arial"/>
          <w:bCs/>
          <w:sz w:val="20"/>
          <w:szCs w:val="20"/>
        </w:rPr>
        <w:t xml:space="preserve">NIPT wird durchgeführt auf Blut der schwangeren Frau, das erbliche Information (DNA) des Fetus enthält. </w:t>
      </w:r>
      <w:r w:rsidRPr="00714CFD">
        <w:rPr>
          <w:rFonts w:cs="Arial"/>
          <w:color w:val="000000"/>
          <w:sz w:val="20"/>
          <w:szCs w:val="20"/>
          <w:lang w:eastAsia="nl-BE"/>
        </w:rPr>
        <w:t xml:space="preserve">Während der Schwangerschaft zirkulieren DNA-Fragmente des Fetus im Blut der Mutter. </w:t>
      </w:r>
      <w:r w:rsidRPr="00714CFD">
        <w:rPr>
          <w:rFonts w:cs="Arial"/>
          <w:sz w:val="20"/>
          <w:szCs w:val="20"/>
          <w:lang w:eastAsia="nl-BE"/>
        </w:rPr>
        <w:t>Diese DNA kann analysiert werden um Chromosomenabweichungen beim Fetus zu fahnden.</w:t>
      </w:r>
      <w:r w:rsidRPr="00714CFD">
        <w:rPr>
          <w:rFonts w:cs="Arial"/>
          <w:color w:val="000000"/>
          <w:sz w:val="20"/>
          <w:szCs w:val="20"/>
          <w:lang w:eastAsia="nl-BE"/>
        </w:rPr>
        <w:t xml:space="preserve"> </w:t>
      </w:r>
      <w:r w:rsidRPr="00714CFD">
        <w:rPr>
          <w:rFonts w:cs="Arial"/>
          <w:sz w:val="20"/>
          <w:szCs w:val="20"/>
          <w:lang w:eastAsia="nl-BE"/>
        </w:rPr>
        <w:t xml:space="preserve">Die Anzahl Kopien der Chromosomen 21, 18 und 13 wird, wie das Geschlecht des Baby, ermittelt. </w:t>
      </w:r>
      <w:r w:rsidRPr="00E51F4C">
        <w:rPr>
          <w:rFonts w:cs="Arial"/>
          <w:sz w:val="20"/>
          <w:szCs w:val="20"/>
          <w:lang w:eastAsia="nl-BE"/>
        </w:rPr>
        <w:t xml:space="preserve">Der Test wurde vom Amerikanischen Labor </w:t>
      </w:r>
      <w:r w:rsidR="00E51F4C" w:rsidRPr="00E51F4C">
        <w:rPr>
          <w:rFonts w:cs="Arial"/>
          <w:sz w:val="20"/>
          <w:szCs w:val="20"/>
          <w:lang w:eastAsia="nl-BE"/>
        </w:rPr>
        <w:t>ILLUMINA</w:t>
      </w:r>
      <w:r w:rsidRPr="00E51F4C">
        <w:rPr>
          <w:rFonts w:cs="Arial"/>
          <w:sz w:val="20"/>
          <w:szCs w:val="20"/>
          <w:lang w:eastAsia="nl-BE"/>
        </w:rPr>
        <w:t xml:space="preserve"> (</w:t>
      </w:r>
      <w:r w:rsidR="00E51F4C" w:rsidRPr="00E51F4C">
        <w:rPr>
          <w:rFonts w:cs="Arial"/>
          <w:sz w:val="20"/>
          <w:szCs w:val="20"/>
          <w:lang w:eastAsia="nl-BE"/>
        </w:rPr>
        <w:t>VERISE</w:t>
      </w:r>
      <w:bookmarkStart w:id="0" w:name="_GoBack"/>
      <w:bookmarkEnd w:id="0"/>
      <w:r w:rsidR="00E51F4C" w:rsidRPr="00E51F4C">
        <w:rPr>
          <w:rFonts w:cs="Arial"/>
          <w:sz w:val="20"/>
          <w:szCs w:val="20"/>
          <w:lang w:eastAsia="nl-BE"/>
        </w:rPr>
        <w:t>Q</w:t>
      </w:r>
      <w:r w:rsidRPr="00E51F4C">
        <w:rPr>
          <w:rFonts w:cs="Arial"/>
          <w:sz w:val="20"/>
          <w:szCs w:val="20"/>
          <w:lang w:eastAsia="nl-BE"/>
        </w:rPr>
        <w:t xml:space="preserve"> Test) entwickelt und wird, beglaubigt von CLIA (Clinical Laboratory Improvement Amendments), durch </w:t>
      </w:r>
      <w:r w:rsidR="00E51F4C" w:rsidRPr="00E51F4C">
        <w:rPr>
          <w:rFonts w:cs="Arial"/>
          <w:sz w:val="20"/>
          <w:szCs w:val="20"/>
          <w:lang w:eastAsia="nl-BE"/>
        </w:rPr>
        <w:t>AML in Belgien d</w:t>
      </w:r>
      <w:r w:rsidRPr="00E51F4C">
        <w:rPr>
          <w:rFonts w:cs="Arial"/>
          <w:sz w:val="20"/>
          <w:szCs w:val="20"/>
          <w:lang w:eastAsia="nl-BE"/>
        </w:rPr>
        <w:t>urchgeführt.</w:t>
      </w:r>
    </w:p>
    <w:p w:rsidR="00714CFD" w:rsidRPr="00E51F4C" w:rsidRDefault="00714CFD" w:rsidP="00797F90">
      <w:pPr>
        <w:spacing w:after="0"/>
        <w:rPr>
          <w:rFonts w:cs="Arial"/>
          <w:b/>
          <w:bCs/>
          <w:sz w:val="20"/>
          <w:szCs w:val="20"/>
          <w:lang w:eastAsia="nl-BE"/>
        </w:rPr>
      </w:pPr>
    </w:p>
    <w:p w:rsidR="00714CFD" w:rsidRDefault="00714CFD" w:rsidP="00797F90">
      <w:pPr>
        <w:spacing w:after="0"/>
        <w:rPr>
          <w:rFonts w:cs="Arial"/>
          <w:bCs/>
          <w:sz w:val="20"/>
          <w:szCs w:val="20"/>
          <w:lang w:eastAsia="nl-BE"/>
        </w:rPr>
      </w:pPr>
      <w:r w:rsidRPr="00714CFD">
        <w:rPr>
          <w:rFonts w:cs="Arial"/>
          <w:b/>
          <w:bCs/>
          <w:sz w:val="20"/>
          <w:szCs w:val="20"/>
          <w:lang w:eastAsia="nl-BE"/>
        </w:rPr>
        <w:t>DAUER</w:t>
      </w:r>
      <w:r w:rsidR="00575555">
        <w:rPr>
          <w:rFonts w:cs="Arial"/>
          <w:b/>
          <w:bCs/>
          <w:sz w:val="20"/>
          <w:szCs w:val="20"/>
          <w:lang w:eastAsia="nl-BE"/>
        </w:rPr>
        <w:t>:</w:t>
      </w:r>
      <w:r w:rsidRPr="00714CFD">
        <w:rPr>
          <w:rFonts w:cs="Arial"/>
          <w:b/>
          <w:bCs/>
          <w:sz w:val="20"/>
          <w:szCs w:val="20"/>
          <w:lang w:eastAsia="nl-BE"/>
        </w:rPr>
        <w:t xml:space="preserve"> </w:t>
      </w:r>
      <w:r w:rsidRPr="00714CFD">
        <w:rPr>
          <w:rFonts w:cs="Arial"/>
          <w:bCs/>
          <w:sz w:val="20"/>
          <w:szCs w:val="20"/>
          <w:lang w:eastAsia="nl-BE"/>
        </w:rPr>
        <w:t xml:space="preserve">Der NIPT dauert etwa 2 Wochen, gerechnet vom Moment des Eintreffens der </w:t>
      </w:r>
      <w:r w:rsidR="00797F90">
        <w:rPr>
          <w:rFonts w:cs="Arial"/>
          <w:bCs/>
          <w:sz w:val="20"/>
          <w:szCs w:val="20"/>
          <w:lang w:eastAsia="nl-BE"/>
        </w:rPr>
        <w:t>Blutprobe bei GENDIA.</w:t>
      </w:r>
    </w:p>
    <w:p w:rsidR="00797F90" w:rsidRPr="00714CFD" w:rsidRDefault="00797F90" w:rsidP="00797F90">
      <w:pPr>
        <w:spacing w:after="0"/>
        <w:rPr>
          <w:rFonts w:cs="Arial"/>
          <w:bCs/>
          <w:sz w:val="20"/>
          <w:szCs w:val="20"/>
          <w:lang w:eastAsia="nl-BE"/>
        </w:rPr>
      </w:pPr>
    </w:p>
    <w:p w:rsidR="00714CFD" w:rsidRDefault="00714CFD" w:rsidP="00797F90">
      <w:pPr>
        <w:spacing w:after="0"/>
        <w:rPr>
          <w:rFonts w:cs="Arial"/>
          <w:sz w:val="20"/>
          <w:szCs w:val="20"/>
          <w:lang w:eastAsia="nl-BE"/>
        </w:rPr>
      </w:pPr>
      <w:r w:rsidRPr="00714CFD">
        <w:rPr>
          <w:rFonts w:cs="Arial"/>
          <w:b/>
          <w:bCs/>
          <w:sz w:val="20"/>
          <w:szCs w:val="20"/>
          <w:lang w:eastAsia="nl-BE"/>
        </w:rPr>
        <w:t>INDIZIEN</w:t>
      </w:r>
      <w:r w:rsidR="00575555">
        <w:rPr>
          <w:rFonts w:cs="Arial"/>
          <w:b/>
          <w:bCs/>
          <w:sz w:val="20"/>
          <w:szCs w:val="20"/>
          <w:lang w:eastAsia="nl-BE"/>
        </w:rPr>
        <w:t>:</w:t>
      </w:r>
      <w:r w:rsidRPr="00714CFD">
        <w:rPr>
          <w:rFonts w:cs="Arial"/>
          <w:b/>
          <w:bCs/>
          <w:sz w:val="20"/>
          <w:szCs w:val="20"/>
          <w:lang w:eastAsia="nl-BE"/>
        </w:rPr>
        <w:t xml:space="preserve"> </w:t>
      </w:r>
      <w:r w:rsidRPr="00714CFD">
        <w:rPr>
          <w:rFonts w:cs="Arial"/>
          <w:bCs/>
          <w:sz w:val="20"/>
          <w:szCs w:val="20"/>
          <w:lang w:eastAsia="nl-BE"/>
        </w:rPr>
        <w:t xml:space="preserve">Der NIPT kann in jeder Schwangerschaft, ohne spezifischen Indizien durchgeführt werden. </w:t>
      </w:r>
      <w:r w:rsidRPr="00714CFD">
        <w:rPr>
          <w:rFonts w:cs="Arial"/>
          <w:sz w:val="20"/>
          <w:szCs w:val="20"/>
          <w:lang w:eastAsia="nl-BE"/>
        </w:rPr>
        <w:t>Der NIPT ersetzt die Fruchtwasseruntersuchung (Amniozentese) oder Chorionzottenbiopsie in Schwangerschaften mit einem erhöhtem Risiko auf Trisomie 21, 18 oder 13, wenn das Ergebnis vom Triple-Test oder der Erst-Trimester-Screening abweichend ist, oder bei hohem mütterlichem Alter.</w:t>
      </w:r>
    </w:p>
    <w:p w:rsidR="00797F90" w:rsidRPr="00714CFD" w:rsidRDefault="00797F90" w:rsidP="00797F90">
      <w:pPr>
        <w:spacing w:after="0"/>
        <w:rPr>
          <w:rFonts w:cs="Arial"/>
          <w:sz w:val="20"/>
          <w:szCs w:val="20"/>
          <w:lang w:eastAsia="nl-BE"/>
        </w:rPr>
      </w:pPr>
    </w:p>
    <w:p w:rsidR="00714CFD" w:rsidRPr="00714CFD" w:rsidRDefault="00714CFD" w:rsidP="00714CFD">
      <w:pPr>
        <w:spacing w:after="0" w:line="276" w:lineRule="auto"/>
        <w:rPr>
          <w:rFonts w:cs="Arial"/>
          <w:sz w:val="20"/>
          <w:szCs w:val="20"/>
          <w:lang w:eastAsia="nl-BE"/>
        </w:rPr>
      </w:pPr>
      <w:r w:rsidRPr="00714CFD">
        <w:rPr>
          <w:rFonts w:cs="Arial"/>
          <w:b/>
          <w:bCs/>
          <w:sz w:val="20"/>
          <w:szCs w:val="20"/>
          <w:lang w:eastAsia="nl-BE"/>
        </w:rPr>
        <w:t>GEGENINDIZIEN</w:t>
      </w:r>
      <w:r w:rsidRPr="00714CFD">
        <w:rPr>
          <w:rFonts w:cs="Arial"/>
          <w:b/>
          <w:sz w:val="20"/>
          <w:szCs w:val="20"/>
          <w:lang w:eastAsia="nl-BE"/>
        </w:rPr>
        <w:t>:</w:t>
      </w:r>
      <w:r w:rsidRPr="00714CFD">
        <w:rPr>
          <w:rFonts w:cs="Arial"/>
          <w:sz w:val="20"/>
          <w:szCs w:val="20"/>
          <w:lang w:eastAsia="nl-BE"/>
        </w:rPr>
        <w:t xml:space="preserve"> Der NIPT ist nicht angesagt, wenn</w:t>
      </w:r>
    </w:p>
    <w:p w:rsidR="00714CFD" w:rsidRPr="00714CFD" w:rsidRDefault="00714CFD" w:rsidP="00714CFD">
      <w:pPr>
        <w:numPr>
          <w:ilvl w:val="0"/>
          <w:numId w:val="1"/>
        </w:numPr>
        <w:spacing w:before="100" w:beforeAutospacing="1" w:after="0" w:line="240" w:lineRule="auto"/>
        <w:rPr>
          <w:rFonts w:cs="Arial"/>
          <w:sz w:val="20"/>
          <w:szCs w:val="20"/>
          <w:lang w:eastAsia="nl-BE"/>
        </w:rPr>
      </w:pPr>
      <w:r w:rsidRPr="00714CFD">
        <w:rPr>
          <w:rFonts w:cs="Arial"/>
          <w:sz w:val="20"/>
          <w:szCs w:val="20"/>
          <w:lang w:eastAsia="nl-BE"/>
        </w:rPr>
        <w:t>Fetale Abweichungen auf dem Ultraschallbild gesichtet wurden.</w:t>
      </w:r>
    </w:p>
    <w:p w:rsidR="00714CFD" w:rsidRPr="00714CFD" w:rsidRDefault="00714CFD" w:rsidP="00714CFD">
      <w:pPr>
        <w:numPr>
          <w:ilvl w:val="0"/>
          <w:numId w:val="1"/>
        </w:numPr>
        <w:spacing w:before="100" w:beforeAutospacing="1" w:after="0" w:line="240" w:lineRule="auto"/>
        <w:rPr>
          <w:rFonts w:cs="Arial"/>
          <w:sz w:val="20"/>
          <w:szCs w:val="20"/>
          <w:lang w:eastAsia="nl-BE"/>
        </w:rPr>
      </w:pPr>
      <w:r w:rsidRPr="00714CFD">
        <w:rPr>
          <w:rFonts w:cs="Arial"/>
          <w:sz w:val="20"/>
          <w:szCs w:val="20"/>
        </w:rPr>
        <w:t>Es erblichen Abweichungen gibt, die nicht mit dem NIPT diagnostiziert werden können.</w:t>
      </w:r>
    </w:p>
    <w:p w:rsidR="00714CFD" w:rsidRPr="00714CFD" w:rsidRDefault="00714CFD" w:rsidP="00714CFD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0"/>
          <w:szCs w:val="20"/>
          <w:lang w:eastAsia="nl-BE"/>
        </w:rPr>
      </w:pPr>
    </w:p>
    <w:p w:rsidR="00714CFD" w:rsidRPr="00714CFD" w:rsidRDefault="00714CFD" w:rsidP="00714CFD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0"/>
          <w:szCs w:val="20"/>
          <w:lang w:eastAsia="nl-BE"/>
        </w:rPr>
      </w:pPr>
      <w:r w:rsidRPr="00714CFD">
        <w:rPr>
          <w:rFonts w:cs="Arial"/>
          <w:b/>
          <w:sz w:val="20"/>
          <w:szCs w:val="20"/>
          <w:lang w:eastAsia="nl-BE"/>
        </w:rPr>
        <w:t>BEGRENZUNGEN</w:t>
      </w:r>
      <w:r w:rsidR="00575555">
        <w:rPr>
          <w:rFonts w:cs="Arial"/>
          <w:b/>
          <w:sz w:val="20"/>
          <w:szCs w:val="20"/>
          <w:lang w:eastAsia="nl-BE"/>
        </w:rPr>
        <w:t>:</w:t>
      </w:r>
      <w:r w:rsidRPr="00714CFD">
        <w:rPr>
          <w:rFonts w:cs="Arial"/>
          <w:sz w:val="20"/>
          <w:szCs w:val="20"/>
          <w:lang w:eastAsia="nl-BE"/>
        </w:rPr>
        <w:t xml:space="preserve"> Der NIPT ermittelt nur die Anzahl der Chromosomen 21, 18 und 13, und das Geschlecht. Ein Mosaik für diese 3 Chromosomen, so wie kleinere Abweichungen (Gendeletion oder Genduplikation) dieser Chromosomen, andere Chromosomenabweichungen oder molekulare monogene Erkrankungen (Mukoviszidose, Krebs, usw) werden mit NIPT nicht ausfindig gemacht.</w:t>
      </w:r>
    </w:p>
    <w:p w:rsidR="00714CFD" w:rsidRPr="00714CFD" w:rsidRDefault="00714CFD" w:rsidP="00714CFD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0"/>
          <w:szCs w:val="20"/>
          <w:lang w:eastAsia="nl-BE"/>
        </w:rPr>
      </w:pPr>
    </w:p>
    <w:p w:rsidR="00714CFD" w:rsidRPr="00714CFD" w:rsidRDefault="00714CFD" w:rsidP="00714CFD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0"/>
          <w:szCs w:val="20"/>
          <w:lang w:eastAsia="nl-BE"/>
        </w:rPr>
      </w:pPr>
      <w:r w:rsidRPr="00714CFD">
        <w:rPr>
          <w:rFonts w:cs="Arial"/>
          <w:b/>
          <w:sz w:val="20"/>
          <w:szCs w:val="20"/>
          <w:lang w:eastAsia="nl-BE"/>
        </w:rPr>
        <w:t>ZUVERLÄSSIGKEIT</w:t>
      </w:r>
      <w:r w:rsidR="00575555">
        <w:rPr>
          <w:rFonts w:cs="Arial"/>
          <w:b/>
          <w:sz w:val="20"/>
          <w:szCs w:val="20"/>
          <w:lang w:eastAsia="nl-BE"/>
        </w:rPr>
        <w:t>:</w:t>
      </w:r>
      <w:r w:rsidRPr="00714CFD">
        <w:rPr>
          <w:rFonts w:cs="Arial"/>
          <w:sz w:val="20"/>
          <w:szCs w:val="20"/>
          <w:lang w:eastAsia="nl-BE"/>
        </w:rPr>
        <w:t xml:space="preserve"> Die Zuverlässigkeit der NIPT-Ergebnisse ist sehr hoch. Die Empfindlichkeit fûr Trisomien der Chromosomen 21,18 und 13 ist so groß, dass ein normales NIPT-Ergebnis heißt, dass die Chance, dass der Fetus doch eine Aneuploidie hat von einem dieser 3 Chromosomen, geringer ist als 1 von 1000 (Falsch-Negativ-Rate).</w:t>
      </w:r>
    </w:p>
    <w:p w:rsidR="00714CFD" w:rsidRPr="00714CFD" w:rsidRDefault="00714CFD" w:rsidP="00714CFD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0"/>
          <w:szCs w:val="20"/>
        </w:rPr>
      </w:pPr>
      <w:r w:rsidRPr="00714CFD">
        <w:rPr>
          <w:rFonts w:cs="Arial"/>
          <w:sz w:val="20"/>
          <w:szCs w:val="20"/>
        </w:rPr>
        <w:t>Auch die Spezifität vom NIPT ist höher als 99% für diese 3 Chromosomen: weniger als 1 Prozent der Testen sind falsch-positiv (das heißt, dass trotz normaler Chromosomen, doch ein abweichendes NIPT-Ergebnis vorliegt).</w:t>
      </w:r>
    </w:p>
    <w:p w:rsidR="00714CFD" w:rsidRPr="00714CFD" w:rsidRDefault="00714CFD" w:rsidP="00714CFD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0"/>
          <w:szCs w:val="20"/>
          <w:lang w:eastAsia="nl-BE"/>
        </w:rPr>
      </w:pPr>
    </w:p>
    <w:p w:rsidR="00714CFD" w:rsidRPr="00714CFD" w:rsidRDefault="00714CFD" w:rsidP="00714CFD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0"/>
          <w:szCs w:val="20"/>
          <w:lang w:eastAsia="nl-BE"/>
        </w:rPr>
      </w:pPr>
      <w:r w:rsidRPr="00714CFD">
        <w:rPr>
          <w:rFonts w:cs="Arial"/>
          <w:b/>
          <w:sz w:val="20"/>
          <w:szCs w:val="20"/>
          <w:lang w:eastAsia="nl-BE"/>
        </w:rPr>
        <w:t>MIßERFOLG</w:t>
      </w:r>
      <w:r w:rsidR="00575555">
        <w:rPr>
          <w:rFonts w:cs="Arial"/>
          <w:b/>
          <w:sz w:val="20"/>
          <w:szCs w:val="20"/>
          <w:lang w:eastAsia="nl-BE"/>
        </w:rPr>
        <w:t>:</w:t>
      </w:r>
      <w:r w:rsidRPr="00714CFD">
        <w:rPr>
          <w:rFonts w:cs="Arial"/>
          <w:sz w:val="20"/>
          <w:szCs w:val="20"/>
          <w:lang w:eastAsia="nl-BE"/>
        </w:rPr>
        <w:t xml:space="preserve"> Bei einer niedrigen Anzahl Schwangerschaften (3%) enthält die Blutprobe der Mutter zu wenig DNA des Fetus und kann der NIPT nicht ausgeführt werden. Ohne Zusatzkosten kann dann, um den Test nochmals auszuführen, Blut abgenommen werden.</w:t>
      </w:r>
    </w:p>
    <w:p w:rsidR="00714CFD" w:rsidRPr="00714CFD" w:rsidRDefault="00714CFD" w:rsidP="00714CFD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0"/>
          <w:szCs w:val="20"/>
        </w:rPr>
      </w:pPr>
    </w:p>
    <w:p w:rsidR="00714CFD" w:rsidRPr="00714CFD" w:rsidRDefault="00714CFD" w:rsidP="00714CFD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0"/>
          <w:szCs w:val="20"/>
        </w:rPr>
      </w:pPr>
      <w:r w:rsidRPr="00714CFD">
        <w:rPr>
          <w:rFonts w:cs="Arial"/>
          <w:b/>
          <w:sz w:val="20"/>
          <w:szCs w:val="20"/>
        </w:rPr>
        <w:t>ERGEBNISSE</w:t>
      </w:r>
      <w:r w:rsidR="00575555">
        <w:rPr>
          <w:rFonts w:cs="Arial"/>
          <w:b/>
          <w:sz w:val="20"/>
          <w:szCs w:val="20"/>
        </w:rPr>
        <w:t>:</w:t>
      </w:r>
      <w:r w:rsidRPr="00714CFD">
        <w:rPr>
          <w:rFonts w:cs="Arial"/>
          <w:sz w:val="20"/>
          <w:szCs w:val="20"/>
        </w:rPr>
        <w:t xml:space="preserve"> Etwa 2 Wochen nach der Blutabnahme werden die Ergebnisse Ihnen und Ihrem Arzt per E-Mail geschickt (in dem Fall, dass wir über Ihre E-Mail-Adresse verfügen).</w:t>
      </w:r>
    </w:p>
    <w:p w:rsidR="00714CFD" w:rsidRPr="00714CFD" w:rsidRDefault="00714CFD" w:rsidP="00714CFD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0"/>
          <w:szCs w:val="20"/>
        </w:rPr>
      </w:pPr>
      <w:r w:rsidRPr="00714CFD">
        <w:rPr>
          <w:rFonts w:cs="Arial"/>
          <w:sz w:val="20"/>
          <w:szCs w:val="20"/>
        </w:rPr>
        <w:t>Wenn Sie das Ergebnis erhalten, können Sie per E-Mail auch das Geschlecht vom Baby anfordern, falls Sie das wissen wollen.</w:t>
      </w:r>
    </w:p>
    <w:p w:rsidR="00714CFD" w:rsidRPr="00714CFD" w:rsidRDefault="00714CFD" w:rsidP="00714CFD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sz w:val="20"/>
          <w:szCs w:val="20"/>
        </w:rPr>
      </w:pPr>
    </w:p>
    <w:p w:rsidR="00714CFD" w:rsidRPr="00714CFD" w:rsidRDefault="00714CFD" w:rsidP="00714CFD">
      <w:pPr>
        <w:spacing w:after="0" w:line="276" w:lineRule="auto"/>
        <w:jc w:val="both"/>
        <w:rPr>
          <w:rFonts w:cs="Arial"/>
          <w:b/>
          <w:sz w:val="20"/>
          <w:szCs w:val="20"/>
        </w:rPr>
      </w:pPr>
      <w:r w:rsidRPr="00714CFD">
        <w:rPr>
          <w:rFonts w:cs="Arial"/>
          <w:b/>
          <w:sz w:val="20"/>
          <w:szCs w:val="20"/>
        </w:rPr>
        <w:t>FOLLOW</w:t>
      </w:r>
      <w:r w:rsidR="00797F90">
        <w:rPr>
          <w:rFonts w:cs="Arial"/>
          <w:b/>
          <w:sz w:val="20"/>
          <w:szCs w:val="20"/>
        </w:rPr>
        <w:t xml:space="preserve"> </w:t>
      </w:r>
      <w:r w:rsidRPr="00714CFD">
        <w:rPr>
          <w:rFonts w:cs="Arial"/>
          <w:b/>
          <w:sz w:val="20"/>
          <w:szCs w:val="20"/>
        </w:rPr>
        <w:t>UP</w:t>
      </w:r>
      <w:r w:rsidR="00797F90">
        <w:rPr>
          <w:rFonts w:cs="Arial"/>
          <w:b/>
          <w:sz w:val="20"/>
          <w:szCs w:val="20"/>
        </w:rPr>
        <w:t>:</w:t>
      </w:r>
    </w:p>
    <w:p w:rsidR="00714CFD" w:rsidRPr="00714CFD" w:rsidRDefault="00714CFD" w:rsidP="00714CFD">
      <w:pPr>
        <w:spacing w:after="0" w:line="276" w:lineRule="auto"/>
        <w:jc w:val="both"/>
        <w:rPr>
          <w:rFonts w:cs="Arial"/>
          <w:sz w:val="20"/>
          <w:szCs w:val="20"/>
        </w:rPr>
      </w:pPr>
      <w:r w:rsidRPr="00714CFD">
        <w:rPr>
          <w:rFonts w:cs="Arial"/>
          <w:b/>
          <w:sz w:val="20"/>
          <w:szCs w:val="20"/>
        </w:rPr>
        <w:t>1. bei einem normalen NIPT-Ergebnis</w:t>
      </w:r>
      <w:r w:rsidRPr="00714CFD">
        <w:rPr>
          <w:rFonts w:cs="Arial"/>
          <w:sz w:val="20"/>
          <w:szCs w:val="20"/>
        </w:rPr>
        <w:t>. Außer den normalen Ultraschallbildern bei Ihrem Frauenarzt oder Ihrer Hebamme ist ein spezifischer Follow-up nicht nötig.</w:t>
      </w:r>
    </w:p>
    <w:p w:rsidR="00714CFD" w:rsidRPr="00714CFD" w:rsidRDefault="00714CFD" w:rsidP="00714CFD">
      <w:pPr>
        <w:spacing w:after="0" w:line="276" w:lineRule="auto"/>
        <w:jc w:val="both"/>
        <w:rPr>
          <w:rFonts w:cs="Arial"/>
          <w:sz w:val="20"/>
          <w:szCs w:val="20"/>
        </w:rPr>
      </w:pPr>
      <w:r w:rsidRPr="00714CFD">
        <w:rPr>
          <w:rFonts w:cs="Arial"/>
          <w:b/>
          <w:sz w:val="20"/>
          <w:szCs w:val="20"/>
        </w:rPr>
        <w:t>2. bei einem gescheitertem NIPT.</w:t>
      </w:r>
      <w:r w:rsidRPr="00714CFD">
        <w:rPr>
          <w:rFonts w:cs="Arial"/>
          <w:sz w:val="20"/>
          <w:szCs w:val="20"/>
        </w:rPr>
        <w:t xml:space="preserve"> </w:t>
      </w:r>
      <w:r w:rsidRPr="00714CFD">
        <w:rPr>
          <w:rFonts w:cs="Arial"/>
          <w:sz w:val="20"/>
          <w:szCs w:val="20"/>
          <w:lang w:eastAsia="nl-BE"/>
        </w:rPr>
        <w:t>Bei einer niedrigen Anzahl Schwangerschaften (3%) enthält die Blutprobe der Mutter zu wenig DNA des Fetus und kann der NIPT nicht ausgeführt werden. Ohne Zusatzkosten kann dann, um den Test nochmals auszuführen, Blut abgenommen werden.</w:t>
      </w:r>
    </w:p>
    <w:p w:rsidR="003D2D89" w:rsidRPr="00714CFD" w:rsidRDefault="00714CFD" w:rsidP="00714CFD">
      <w:pPr>
        <w:spacing w:after="0" w:line="276" w:lineRule="auto"/>
        <w:jc w:val="both"/>
        <w:rPr>
          <w:rFonts w:cs="Arial"/>
          <w:sz w:val="20"/>
          <w:szCs w:val="20"/>
        </w:rPr>
      </w:pPr>
      <w:r w:rsidRPr="00714CFD">
        <w:rPr>
          <w:rFonts w:cs="Arial"/>
          <w:b/>
          <w:sz w:val="20"/>
          <w:szCs w:val="20"/>
        </w:rPr>
        <w:t>3. bei einem abweichenden NIPT-Ergebnis.</w:t>
      </w:r>
      <w:r w:rsidRPr="00714CFD">
        <w:rPr>
          <w:rFonts w:cs="Arial"/>
          <w:sz w:val="20"/>
          <w:szCs w:val="20"/>
        </w:rPr>
        <w:t xml:space="preserve"> Wenn das NIPT-Ergebnis abweichend ist, mit einer unnormalen Zahl von einem der 3 Chromosomen (21, 18, 13), werden wir die Implikationen mit Ihnen besprechen, per Telefon oder bei der Konsultation in Antwerpen. Ihr Frauenarzt wird auch informiert. Zur Bestätigung der NIPT-Ergebnisse empfehlen wir immer eine Fruchtwasseruntersuchung (Amniozentese) oder Chorionzottenbiopsie mit Chromosomenanalyse.</w:t>
      </w:r>
    </w:p>
    <w:sectPr w:rsidR="003D2D89" w:rsidRPr="00714CFD" w:rsidSect="001731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F9" w:rsidRDefault="008650F9" w:rsidP="008345BB">
      <w:pPr>
        <w:spacing w:after="0" w:line="240" w:lineRule="auto"/>
      </w:pPr>
      <w:r>
        <w:separator/>
      </w:r>
    </w:p>
  </w:endnote>
  <w:endnote w:type="continuationSeparator" w:id="0">
    <w:p w:rsidR="008650F9" w:rsidRDefault="008650F9" w:rsidP="0083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2F5496" w:themeColor="accent5" w:themeShade="BF"/>
      </w:tblBorders>
      <w:tblLayout w:type="fixed"/>
      <w:tblLook w:val="04A0" w:firstRow="1" w:lastRow="0" w:firstColumn="1" w:lastColumn="0" w:noHBand="0" w:noVBand="1"/>
    </w:tblPr>
    <w:tblGrid>
      <w:gridCol w:w="3703"/>
      <w:gridCol w:w="1664"/>
      <w:gridCol w:w="3046"/>
      <w:gridCol w:w="659"/>
    </w:tblGrid>
    <w:tr w:rsidR="003D2D89" w:rsidTr="003D2D89">
      <w:trPr>
        <w:trHeight w:val="360"/>
      </w:trPr>
      <w:tc>
        <w:tcPr>
          <w:tcW w:w="2041" w:type="pct"/>
        </w:tcPr>
        <w:p w:rsidR="003D2D89" w:rsidRPr="003D2D89" w:rsidRDefault="003D2D89" w:rsidP="008345BB">
          <w:pPr>
            <w:pStyle w:val="Voettekst"/>
            <w:rPr>
              <w:i/>
              <w:color w:val="7F7F7F" w:themeColor="text1" w:themeTint="80"/>
            </w:rPr>
          </w:pPr>
          <w:r w:rsidRPr="003D2D89">
            <w:rPr>
              <w:b/>
              <w:color w:val="7F7F7F" w:themeColor="text1" w:themeTint="80"/>
            </w:rPr>
            <w:t>GENDIA</w:t>
          </w:r>
          <w:r w:rsidRPr="003D2D89">
            <w:rPr>
              <w:color w:val="7F7F7F" w:themeColor="text1" w:themeTint="80"/>
            </w:rPr>
            <w:t xml:space="preserve"> </w:t>
          </w:r>
          <w:r>
            <w:rPr>
              <w:color w:val="7F7F7F" w:themeColor="text1" w:themeTint="80"/>
            </w:rPr>
            <w:t>-</w:t>
          </w:r>
          <w:r w:rsidRPr="003D2D89">
            <w:rPr>
              <w:color w:val="7F7F7F" w:themeColor="text1" w:themeTint="80"/>
            </w:rPr>
            <w:t xml:space="preserve"> </w:t>
          </w:r>
          <w:r w:rsidRPr="003D2D89">
            <w:rPr>
              <w:i/>
              <w:color w:val="7F7F7F" w:themeColor="text1" w:themeTint="80"/>
            </w:rPr>
            <w:t>Genetic Diagnostic Network</w:t>
          </w:r>
        </w:p>
        <w:p w:rsidR="003D2D89" w:rsidRPr="003D2D89" w:rsidRDefault="003D2D89" w:rsidP="008345BB">
          <w:pPr>
            <w:pStyle w:val="Voettekst"/>
            <w:rPr>
              <w:rFonts w:cs="Arial"/>
              <w:color w:val="7F7F7F" w:themeColor="text1" w:themeTint="80"/>
              <w:sz w:val="20"/>
              <w:szCs w:val="20"/>
              <w:lang w:val="fr-BE"/>
            </w:rPr>
          </w:pPr>
          <w:r w:rsidRPr="003D2D89">
            <w:rPr>
              <w:rFonts w:cs="Arial"/>
              <w:color w:val="7F7F7F" w:themeColor="text1" w:themeTint="80"/>
              <w:sz w:val="20"/>
              <w:szCs w:val="20"/>
              <w:lang w:val="fr-BE"/>
            </w:rPr>
            <w:t>Emiel Vloorsstraat 9</w:t>
          </w:r>
        </w:p>
        <w:p w:rsidR="003D2D89" w:rsidRPr="003D2D89" w:rsidRDefault="003D2D89" w:rsidP="008345BB">
          <w:pPr>
            <w:pStyle w:val="Voettekst"/>
            <w:rPr>
              <w:color w:val="7F7F7F" w:themeColor="text1" w:themeTint="80"/>
              <w:sz w:val="18"/>
              <w:szCs w:val="18"/>
              <w:lang w:val="fr-BE"/>
            </w:rPr>
          </w:pPr>
          <w:r w:rsidRPr="003D2D89">
            <w:rPr>
              <w:color w:val="7F7F7F" w:themeColor="text1" w:themeTint="80"/>
              <w:sz w:val="18"/>
              <w:szCs w:val="18"/>
              <w:lang w:val="fr-BE"/>
            </w:rPr>
            <w:t>B-2020 Antwerp</w:t>
          </w:r>
          <w:r w:rsidR="00714CFD">
            <w:rPr>
              <w:color w:val="7F7F7F" w:themeColor="text1" w:themeTint="80"/>
              <w:sz w:val="18"/>
              <w:szCs w:val="18"/>
              <w:lang w:val="fr-BE"/>
            </w:rPr>
            <w:t>en</w:t>
          </w:r>
        </w:p>
        <w:p w:rsidR="003D2D89" w:rsidRPr="003D2D89" w:rsidRDefault="00714CFD" w:rsidP="008345BB">
          <w:pPr>
            <w:pStyle w:val="Voettekst"/>
            <w:rPr>
              <w:color w:val="7F7F7F" w:themeColor="text1" w:themeTint="80"/>
            </w:rPr>
          </w:pPr>
          <w:r>
            <w:rPr>
              <w:color w:val="7F7F7F" w:themeColor="text1" w:themeTint="80"/>
              <w:sz w:val="18"/>
              <w:szCs w:val="18"/>
              <w:lang w:val="fr-BE"/>
            </w:rPr>
            <w:t>Belgien</w:t>
          </w:r>
        </w:p>
      </w:tc>
      <w:tc>
        <w:tcPr>
          <w:tcW w:w="917" w:type="pct"/>
          <w:shd w:val="clear" w:color="auto" w:fill="auto"/>
        </w:tcPr>
        <w:p w:rsidR="003D2D89" w:rsidRPr="003D2D89" w:rsidRDefault="003D2D89">
          <w:pPr>
            <w:pStyle w:val="Voettekst"/>
            <w:jc w:val="right"/>
            <w:rPr>
              <w:b/>
              <w:color w:val="7F7F7F" w:themeColor="text1" w:themeTint="80"/>
              <w:sz w:val="18"/>
              <w:szCs w:val="18"/>
              <w:lang w:val="fr-BE"/>
            </w:rPr>
          </w:pPr>
          <w:r w:rsidRPr="003D2D89">
            <w:rPr>
              <w:b/>
              <w:color w:val="7F7F7F" w:themeColor="text1" w:themeTint="80"/>
              <w:sz w:val="18"/>
              <w:szCs w:val="18"/>
              <w:lang w:val="fr-BE"/>
            </w:rPr>
            <w:t>Phone :</w:t>
          </w:r>
        </w:p>
        <w:p w:rsidR="003D2D89" w:rsidRPr="003D2D89" w:rsidRDefault="003D2D89">
          <w:pPr>
            <w:pStyle w:val="Voettekst"/>
            <w:jc w:val="right"/>
            <w:rPr>
              <w:b/>
              <w:color w:val="7F7F7F" w:themeColor="text1" w:themeTint="80"/>
              <w:sz w:val="18"/>
              <w:szCs w:val="18"/>
              <w:lang w:val="fr-BE"/>
            </w:rPr>
          </w:pPr>
          <w:r w:rsidRPr="003D2D89">
            <w:rPr>
              <w:b/>
              <w:color w:val="7F7F7F" w:themeColor="text1" w:themeTint="80"/>
              <w:sz w:val="18"/>
              <w:szCs w:val="18"/>
              <w:lang w:val="fr-BE"/>
            </w:rPr>
            <w:t>Fax :</w:t>
          </w:r>
        </w:p>
        <w:p w:rsidR="003D2D89" w:rsidRPr="003D2D89" w:rsidRDefault="003D2D89">
          <w:pPr>
            <w:pStyle w:val="Voettekst"/>
            <w:jc w:val="right"/>
            <w:rPr>
              <w:b/>
              <w:color w:val="7F7F7F" w:themeColor="text1" w:themeTint="80"/>
              <w:sz w:val="18"/>
              <w:szCs w:val="18"/>
              <w:lang w:val="fr-BE"/>
            </w:rPr>
          </w:pPr>
          <w:r w:rsidRPr="003D2D89">
            <w:rPr>
              <w:b/>
              <w:color w:val="7F7F7F" w:themeColor="text1" w:themeTint="80"/>
              <w:sz w:val="18"/>
              <w:szCs w:val="18"/>
              <w:lang w:val="fr-BE"/>
            </w:rPr>
            <w:t>E-mail :</w:t>
          </w:r>
        </w:p>
        <w:p w:rsidR="003D2D89" w:rsidRPr="00E51F4C" w:rsidRDefault="003D2D89">
          <w:pPr>
            <w:pStyle w:val="Voettekst"/>
            <w:jc w:val="right"/>
            <w:rPr>
              <w:color w:val="7F7F7F" w:themeColor="text1" w:themeTint="80"/>
              <w:sz w:val="18"/>
              <w:szCs w:val="18"/>
              <w:lang w:val="en-US"/>
            </w:rPr>
          </w:pPr>
          <w:r w:rsidRPr="003D2D89">
            <w:rPr>
              <w:b/>
              <w:color w:val="7F7F7F" w:themeColor="text1" w:themeTint="80"/>
              <w:sz w:val="18"/>
              <w:szCs w:val="18"/>
              <w:lang w:val="fr-BE"/>
            </w:rPr>
            <w:t>Web :</w:t>
          </w:r>
        </w:p>
      </w:tc>
      <w:tc>
        <w:tcPr>
          <w:tcW w:w="1679" w:type="pct"/>
          <w:shd w:val="clear" w:color="auto" w:fill="auto"/>
        </w:tcPr>
        <w:p w:rsidR="003D2D89" w:rsidRPr="003D2D89" w:rsidRDefault="003D2D89" w:rsidP="003D2D89">
          <w:pPr>
            <w:pStyle w:val="Voettekst"/>
            <w:rPr>
              <w:b/>
              <w:color w:val="7F7F7F" w:themeColor="text1" w:themeTint="80"/>
              <w:sz w:val="18"/>
              <w:szCs w:val="18"/>
              <w:lang w:val="fr-BE"/>
            </w:rPr>
          </w:pPr>
          <w:r w:rsidRPr="003D2D89">
            <w:rPr>
              <w:b/>
              <w:color w:val="7F7F7F" w:themeColor="text1" w:themeTint="80"/>
              <w:sz w:val="18"/>
              <w:szCs w:val="18"/>
              <w:lang w:val="fr-BE"/>
            </w:rPr>
            <w:t>+ 32 3 303 08 01</w:t>
          </w:r>
        </w:p>
        <w:p w:rsidR="003D2D89" w:rsidRPr="003D2D89" w:rsidRDefault="003D2D89" w:rsidP="003D2D89">
          <w:pPr>
            <w:pStyle w:val="Voettekst"/>
            <w:rPr>
              <w:b/>
              <w:color w:val="7F7F7F" w:themeColor="text1" w:themeTint="80"/>
              <w:sz w:val="18"/>
              <w:szCs w:val="18"/>
              <w:lang w:val="fr-BE"/>
            </w:rPr>
          </w:pPr>
          <w:r w:rsidRPr="003D2D89">
            <w:rPr>
              <w:b/>
              <w:color w:val="7F7F7F" w:themeColor="text1" w:themeTint="80"/>
              <w:sz w:val="18"/>
              <w:szCs w:val="18"/>
              <w:lang w:val="fr-BE"/>
            </w:rPr>
            <w:t>+ 32 3 238 77 70</w:t>
          </w:r>
        </w:p>
        <w:p w:rsidR="003D2D89" w:rsidRPr="003D2D89" w:rsidRDefault="003D2D89" w:rsidP="003D2D89">
          <w:pPr>
            <w:pStyle w:val="Voettekst"/>
            <w:rPr>
              <w:b/>
              <w:color w:val="7F7F7F" w:themeColor="text1" w:themeTint="80"/>
              <w:sz w:val="18"/>
              <w:szCs w:val="18"/>
              <w:lang w:val="fr-BE"/>
            </w:rPr>
          </w:pPr>
          <w:r w:rsidRPr="003D2D89">
            <w:rPr>
              <w:b/>
              <w:color w:val="7F7F7F" w:themeColor="text1" w:themeTint="80"/>
              <w:sz w:val="18"/>
              <w:szCs w:val="18"/>
              <w:lang w:val="fr-BE"/>
            </w:rPr>
            <w:t>NIPT@GENDIA.net</w:t>
          </w:r>
        </w:p>
        <w:p w:rsidR="003D2D89" w:rsidRPr="00E51F4C" w:rsidRDefault="003D2D89" w:rsidP="003D2D89">
          <w:pPr>
            <w:pStyle w:val="Voettekst"/>
            <w:rPr>
              <w:color w:val="7F7F7F" w:themeColor="text1" w:themeTint="80"/>
              <w:sz w:val="18"/>
              <w:szCs w:val="18"/>
              <w:lang w:val="en-US"/>
            </w:rPr>
          </w:pPr>
          <w:r w:rsidRPr="003D2D89">
            <w:rPr>
              <w:b/>
              <w:color w:val="7F7F7F" w:themeColor="text1" w:themeTint="80"/>
              <w:sz w:val="18"/>
              <w:szCs w:val="18"/>
              <w:lang w:val="fr-BE"/>
            </w:rPr>
            <w:t>www.DOWNsyndromeNIPT.info</w:t>
          </w:r>
        </w:p>
      </w:tc>
      <w:tc>
        <w:tcPr>
          <w:tcW w:w="363" w:type="pct"/>
          <w:shd w:val="clear" w:color="auto" w:fill="2F5496" w:themeFill="accent5" w:themeFillShade="BF"/>
        </w:tcPr>
        <w:p w:rsidR="003D2D89" w:rsidRPr="003D2D89" w:rsidRDefault="003D2D89" w:rsidP="003D2D89">
          <w:pPr>
            <w:pStyle w:val="Voettekst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3D2D89">
            <w:rPr>
              <w:b/>
              <w:color w:val="FFFF00"/>
              <w:sz w:val="18"/>
              <w:szCs w:val="18"/>
            </w:rPr>
            <w:fldChar w:fldCharType="begin"/>
          </w:r>
          <w:r w:rsidRPr="003D2D89">
            <w:rPr>
              <w:b/>
              <w:color w:val="FFFF00"/>
              <w:sz w:val="18"/>
              <w:szCs w:val="18"/>
            </w:rPr>
            <w:instrText>PAGE    \* MERGEFORMAT</w:instrText>
          </w:r>
          <w:r w:rsidRPr="003D2D89">
            <w:rPr>
              <w:b/>
              <w:color w:val="FFFF00"/>
              <w:sz w:val="18"/>
              <w:szCs w:val="18"/>
            </w:rPr>
            <w:fldChar w:fldCharType="separate"/>
          </w:r>
          <w:r w:rsidR="00E51F4C" w:rsidRPr="00E51F4C">
            <w:rPr>
              <w:b/>
              <w:noProof/>
              <w:color w:val="FFFF00"/>
              <w:sz w:val="18"/>
              <w:szCs w:val="18"/>
              <w:lang w:val="nl-NL"/>
            </w:rPr>
            <w:t>2</w:t>
          </w:r>
          <w:r w:rsidRPr="003D2D89">
            <w:rPr>
              <w:b/>
              <w:color w:val="FFFF00"/>
              <w:sz w:val="18"/>
              <w:szCs w:val="18"/>
            </w:rPr>
            <w:fldChar w:fldCharType="end"/>
          </w:r>
        </w:p>
      </w:tc>
    </w:tr>
  </w:tbl>
  <w:p w:rsidR="008345BB" w:rsidRDefault="008345B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F9" w:rsidRDefault="008650F9" w:rsidP="008345BB">
      <w:pPr>
        <w:spacing w:after="0" w:line="240" w:lineRule="auto"/>
      </w:pPr>
      <w:r>
        <w:separator/>
      </w:r>
    </w:p>
  </w:footnote>
  <w:footnote w:type="continuationSeparator" w:id="0">
    <w:p w:rsidR="008650F9" w:rsidRDefault="008650F9" w:rsidP="0083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B61E5"/>
    <w:multiLevelType w:val="multilevel"/>
    <w:tmpl w:val="CE74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BB"/>
    <w:rsid w:val="00115E85"/>
    <w:rsid w:val="00173188"/>
    <w:rsid w:val="00176BE3"/>
    <w:rsid w:val="00235072"/>
    <w:rsid w:val="003D2D89"/>
    <w:rsid w:val="00575555"/>
    <w:rsid w:val="00714CFD"/>
    <w:rsid w:val="007846CA"/>
    <w:rsid w:val="00797F90"/>
    <w:rsid w:val="008345BB"/>
    <w:rsid w:val="008638B4"/>
    <w:rsid w:val="008650F9"/>
    <w:rsid w:val="009E2CB4"/>
    <w:rsid w:val="00AB5675"/>
    <w:rsid w:val="00C91BA7"/>
    <w:rsid w:val="00D353E8"/>
    <w:rsid w:val="00E51F4C"/>
    <w:rsid w:val="00FC0800"/>
    <w:rsid w:val="00FD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B3193F-EC5A-46CC-91FC-0BE8524D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45BB"/>
  </w:style>
  <w:style w:type="paragraph" w:styleId="Voettekst">
    <w:name w:val="footer"/>
    <w:basedOn w:val="Standaard"/>
    <w:link w:val="VoettekstChar"/>
    <w:uiPriority w:val="99"/>
    <w:unhideWhenUsed/>
    <w:rsid w:val="0083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45BB"/>
  </w:style>
  <w:style w:type="paragraph" w:styleId="Ballontekst">
    <w:name w:val="Balloon Text"/>
    <w:basedOn w:val="Standaard"/>
    <w:link w:val="BallontekstChar"/>
    <w:uiPriority w:val="99"/>
    <w:semiHidden/>
    <w:unhideWhenUsed/>
    <w:rsid w:val="0083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45B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D2D89"/>
    <w:rPr>
      <w:color w:val="0563C1" w:themeColor="hyperlink"/>
      <w:u w:val="single"/>
    </w:rPr>
  </w:style>
  <w:style w:type="paragraph" w:customStyle="1" w:styleId="a">
    <w:basedOn w:val="Standaard"/>
    <w:next w:val="Standaard"/>
    <w:uiPriority w:val="11"/>
    <w:qFormat/>
    <w:rsid w:val="003D2D89"/>
    <w:pPr>
      <w:spacing w:after="0" w:line="240" w:lineRule="auto"/>
    </w:pPr>
    <w:rPr>
      <w:rFonts w:ascii="Helvetica" w:eastAsia="Times New Roman" w:hAnsi="Helvetica" w:cs="Arial"/>
      <w:b/>
      <w:sz w:val="20"/>
      <w:szCs w:val="19"/>
      <w:u w:val="single"/>
      <w:lang w:val="en-US"/>
    </w:rPr>
  </w:style>
  <w:style w:type="character" w:customStyle="1" w:styleId="OndertitelChar1">
    <w:name w:val="Ondertitel Char1"/>
    <w:link w:val="Ondertitel"/>
    <w:uiPriority w:val="11"/>
    <w:rsid w:val="003D2D89"/>
    <w:rPr>
      <w:rFonts w:ascii="Helvetica" w:hAnsi="Helvetica" w:cs="Arial"/>
      <w:b/>
      <w:szCs w:val="19"/>
      <w:u w:val="single"/>
      <w:lang w:val="en-US" w:eastAsia="en-US"/>
    </w:rPr>
  </w:style>
  <w:style w:type="paragraph" w:styleId="Ondertitel">
    <w:name w:val="Subtitle"/>
    <w:basedOn w:val="Standaard"/>
    <w:next w:val="Standaard"/>
    <w:link w:val="OndertitelChar1"/>
    <w:uiPriority w:val="11"/>
    <w:qFormat/>
    <w:rsid w:val="003D2D89"/>
    <w:pPr>
      <w:numPr>
        <w:ilvl w:val="1"/>
      </w:numPr>
    </w:pPr>
    <w:rPr>
      <w:rFonts w:ascii="Helvetica" w:hAnsi="Helvetica" w:cs="Arial"/>
      <w:b/>
      <w:szCs w:val="19"/>
      <w:u w:val="single"/>
      <w:lang w:val="en-US"/>
    </w:rPr>
  </w:style>
  <w:style w:type="character" w:customStyle="1" w:styleId="OndertitelChar">
    <w:name w:val="Ondertitel Char"/>
    <w:basedOn w:val="Standaardalinea-lettertype"/>
    <w:uiPriority w:val="11"/>
    <w:rsid w:val="003D2D8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Bijschrift">
    <w:name w:val="caption"/>
    <w:basedOn w:val="Standaard"/>
    <w:next w:val="Standaard"/>
    <w:uiPriority w:val="35"/>
    <w:unhideWhenUsed/>
    <w:qFormat/>
    <w:rsid w:val="007846CA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Plessers</dc:creator>
  <cp:lastModifiedBy>Sam Plessers</cp:lastModifiedBy>
  <cp:revision>2</cp:revision>
  <dcterms:created xsi:type="dcterms:W3CDTF">2018-06-02T13:12:00Z</dcterms:created>
  <dcterms:modified xsi:type="dcterms:W3CDTF">2018-06-02T13:12:00Z</dcterms:modified>
</cp:coreProperties>
</file>